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25-151-Ö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t>Stauseebogen - Erneuerung der Fahrbahn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t>Erneuerung der Fahrbahn und Nebenanlagen, Beleuchtung, Markierung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D78C1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8AA1-E48C-4274-87E8-3B8A0E1D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Pape, Katrin</cp:lastModifiedBy>
  <cp:revision>2</cp:revision>
  <cp:lastPrinted>2010-03-03T17:04:00Z</cp:lastPrinted>
  <dcterms:created xsi:type="dcterms:W3CDTF">2025-11-07T10:44:00Z</dcterms:created>
  <dcterms:modified xsi:type="dcterms:W3CDTF">2025-11-07T10:44:00Z</dcterms:modified>
</cp:coreProperties>
</file>